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77705" w14:textId="11809DFD" w:rsidR="002E3820" w:rsidRDefault="002E3820" w:rsidP="002E3820">
      <w:pPr>
        <w:pStyle w:val="Encabezado"/>
        <w:tabs>
          <w:tab w:val="left" w:pos="2520"/>
        </w:tabs>
        <w:ind w:right="4"/>
        <w:contextualSpacing/>
        <w:jc w:val="right"/>
        <w:rPr>
          <w:rFonts w:ascii="Arial" w:hAnsi="Arial" w:cs="Arial"/>
          <w:b/>
          <w:smallCaps/>
        </w:rPr>
      </w:pPr>
      <w:r w:rsidRPr="00390BAA">
        <w:rPr>
          <w:rFonts w:ascii="Arial" w:hAnsi="Arial" w:cs="Arial"/>
          <w:b/>
          <w:smallCaps/>
          <w:color w:val="000000" w:themeColor="text1"/>
        </w:rPr>
        <w:t>Dirección de Estado Abierto, Estudios y Evaluación</w:t>
      </w:r>
    </w:p>
    <w:p w14:paraId="379DC43F" w14:textId="77777777" w:rsidR="002E3820" w:rsidRPr="003909E2" w:rsidRDefault="002E3820" w:rsidP="002E3820">
      <w:pPr>
        <w:spacing w:before="120" w:after="0" w:line="240" w:lineRule="auto"/>
        <w:ind w:right="6"/>
        <w:jc w:val="right"/>
        <w:rPr>
          <w:rFonts w:ascii="Arial" w:hAnsi="Arial" w:cs="Arial"/>
          <w:sz w:val="20"/>
          <w:szCs w:val="20"/>
        </w:rPr>
      </w:pPr>
      <w:r w:rsidRPr="003909E2">
        <w:rPr>
          <w:rFonts w:ascii="Arial" w:hAnsi="Arial" w:cs="Arial"/>
          <w:sz w:val="20"/>
          <w:szCs w:val="20"/>
        </w:rPr>
        <w:t xml:space="preserve">Ciudad de México, </w:t>
      </w:r>
      <w:r>
        <w:rPr>
          <w:rFonts w:ascii="Arial" w:hAnsi="Arial" w:cs="Arial"/>
          <w:sz w:val="20"/>
          <w:szCs w:val="20"/>
        </w:rPr>
        <w:t>23</w:t>
      </w:r>
      <w:r w:rsidRPr="003909E2">
        <w:rPr>
          <w:rFonts w:ascii="Arial" w:hAnsi="Arial" w:cs="Arial"/>
          <w:sz w:val="20"/>
          <w:szCs w:val="20"/>
        </w:rPr>
        <w:t xml:space="preserve"> de marzo de 2020</w:t>
      </w:r>
    </w:p>
    <w:p w14:paraId="3A7E7F07" w14:textId="77777777" w:rsidR="002E3820" w:rsidRDefault="002E3820" w:rsidP="002E38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7931"/>
      </w:tblGrid>
      <w:tr w:rsidR="002E3820" w14:paraId="0E95067B" w14:textId="77777777" w:rsidTr="003955A0">
        <w:tc>
          <w:tcPr>
            <w:tcW w:w="9341" w:type="dxa"/>
            <w:gridSpan w:val="2"/>
            <w:shd w:val="clear" w:color="auto" w:fill="F2F2F2"/>
            <w:vAlign w:val="center"/>
          </w:tcPr>
          <w:p w14:paraId="21DBF6BA" w14:textId="00B87583" w:rsidR="002E3820" w:rsidRPr="002E3820" w:rsidRDefault="003955A0" w:rsidP="003955A0">
            <w:pPr>
              <w:jc w:val="center"/>
              <w:rPr>
                <w:rFonts w:ascii="Arial Narrow" w:eastAsia="Arial" w:hAnsi="Arial Narrow" w:cs="Arial"/>
                <w:b/>
              </w:rPr>
            </w:pPr>
            <w:bookmarkStart w:id="0" w:name="_heading=h.2fwazc2qb3nq" w:colFirst="0" w:colLast="0"/>
            <w:bookmarkStart w:id="1" w:name="_heading=h.j0f27mkibakt" w:colFirst="0" w:colLast="0"/>
            <w:bookmarkEnd w:id="0"/>
            <w:bookmarkEnd w:id="1"/>
            <w:r>
              <w:rPr>
                <w:rFonts w:ascii="Arial Narrow" w:eastAsia="Arial" w:hAnsi="Arial Narrow" w:cs="Arial"/>
                <w:b/>
              </w:rPr>
              <w:t xml:space="preserve">Conferencia de Prensa vespertina </w:t>
            </w:r>
            <w:r w:rsidR="002E3820" w:rsidRPr="002E3820">
              <w:rPr>
                <w:rFonts w:ascii="Arial Narrow" w:eastAsia="Arial" w:hAnsi="Arial Narrow" w:cs="Arial"/>
                <w:b/>
              </w:rPr>
              <w:t xml:space="preserve">COVID-19 </w:t>
            </w:r>
            <w:r>
              <w:rPr>
                <w:rFonts w:ascii="Arial Narrow" w:eastAsia="Arial" w:hAnsi="Arial Narrow" w:cs="Arial"/>
                <w:b/>
              </w:rPr>
              <w:t>Secretaría de Salud del Gobierno Federal</w:t>
            </w:r>
          </w:p>
        </w:tc>
      </w:tr>
      <w:tr w:rsidR="002E3820" w14:paraId="678CEAD3" w14:textId="77777777" w:rsidTr="003955A0">
        <w:tc>
          <w:tcPr>
            <w:tcW w:w="1410" w:type="dxa"/>
            <w:vAlign w:val="center"/>
          </w:tcPr>
          <w:p w14:paraId="0626460C" w14:textId="77777777" w:rsidR="002E3820" w:rsidRPr="002E3820" w:rsidRDefault="002E3820" w:rsidP="00582C56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2E3820">
              <w:rPr>
                <w:rFonts w:ascii="Arial Narrow" w:eastAsia="Arial" w:hAnsi="Arial Narrow" w:cs="Arial"/>
                <w:b/>
              </w:rPr>
              <w:t>Fecha:</w:t>
            </w:r>
          </w:p>
        </w:tc>
        <w:tc>
          <w:tcPr>
            <w:tcW w:w="7931" w:type="dxa"/>
            <w:vAlign w:val="center"/>
          </w:tcPr>
          <w:p w14:paraId="0559F807" w14:textId="36CD7510" w:rsidR="002E3820" w:rsidRPr="002E3820" w:rsidRDefault="002E3820" w:rsidP="00582C56">
            <w:pPr>
              <w:spacing w:line="276" w:lineRule="auto"/>
              <w:rPr>
                <w:rFonts w:ascii="Arial Narrow" w:eastAsia="Arial" w:hAnsi="Arial Narrow" w:cs="Arial"/>
              </w:rPr>
            </w:pPr>
            <w:r w:rsidRPr="002E3820">
              <w:rPr>
                <w:rFonts w:ascii="Arial Narrow" w:eastAsia="Arial" w:hAnsi="Arial Narrow" w:cs="Arial"/>
              </w:rPr>
              <w:t>23 de marzo de 2020.</w:t>
            </w:r>
            <w:r w:rsidR="003955A0">
              <w:rPr>
                <w:rFonts w:ascii="Arial Narrow" w:eastAsia="Arial" w:hAnsi="Arial Narrow" w:cs="Arial"/>
              </w:rPr>
              <w:t xml:space="preserve"> 19:00 horas.</w:t>
            </w:r>
          </w:p>
        </w:tc>
      </w:tr>
      <w:tr w:rsidR="002E3820" w14:paraId="68A2FE97" w14:textId="77777777" w:rsidTr="003955A0">
        <w:tc>
          <w:tcPr>
            <w:tcW w:w="1410" w:type="dxa"/>
            <w:vAlign w:val="center"/>
          </w:tcPr>
          <w:p w14:paraId="24198908" w14:textId="77777777" w:rsidR="002E3820" w:rsidRPr="002E3820" w:rsidRDefault="002E3820" w:rsidP="00582C56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2E3820">
              <w:rPr>
                <w:rFonts w:ascii="Arial Narrow" w:eastAsia="Arial" w:hAnsi="Arial Narrow" w:cs="Arial"/>
                <w:b/>
              </w:rPr>
              <w:t>Fuente:</w:t>
            </w:r>
          </w:p>
        </w:tc>
        <w:tc>
          <w:tcPr>
            <w:tcW w:w="7931" w:type="dxa"/>
            <w:vAlign w:val="center"/>
          </w:tcPr>
          <w:p w14:paraId="02AAAC5C" w14:textId="1558AD46" w:rsidR="002E3820" w:rsidRPr="002E3820" w:rsidRDefault="002E3820" w:rsidP="00582C56">
            <w:pPr>
              <w:spacing w:line="276" w:lineRule="auto"/>
              <w:rPr>
                <w:rFonts w:ascii="Arial Narrow" w:eastAsia="Arial" w:hAnsi="Arial Narrow" w:cs="Arial"/>
              </w:rPr>
            </w:pPr>
            <w:r w:rsidRPr="002E3820">
              <w:rPr>
                <w:rFonts w:ascii="Arial Narrow" w:eastAsia="Arial" w:hAnsi="Arial Narrow" w:cs="Arial"/>
              </w:rPr>
              <w:t xml:space="preserve">Secretaría de Salud. </w:t>
            </w:r>
            <w:r w:rsidRPr="002E3820">
              <w:rPr>
                <w:rFonts w:ascii="Arial Narrow" w:hAnsi="Arial Narrow"/>
              </w:rPr>
              <w:t xml:space="preserve">Comunicado Técnico </w:t>
            </w:r>
            <w:proofErr w:type="spellStart"/>
            <w:r w:rsidRPr="002E3820">
              <w:rPr>
                <w:rFonts w:ascii="Arial Narrow" w:hAnsi="Arial Narrow"/>
              </w:rPr>
              <w:t>Diario</w:t>
            </w:r>
            <w:r w:rsidR="00D730DC">
              <w:rPr>
                <w:rFonts w:ascii="Arial Narrow" w:hAnsi="Arial Narrow"/>
              </w:rPr>
              <w:t>.</w:t>
            </w:r>
            <w:bookmarkStart w:id="2" w:name="_GoBack"/>
            <w:bookmarkEnd w:id="2"/>
            <w:r w:rsidRPr="002E3820">
              <w:rPr>
                <w:rFonts w:ascii="Arial Narrow" w:hAnsi="Arial Narrow"/>
              </w:rPr>
              <w:t>Coronavirus</w:t>
            </w:r>
            <w:proofErr w:type="spellEnd"/>
            <w:r w:rsidRPr="002E3820">
              <w:rPr>
                <w:rFonts w:ascii="Arial Narrow" w:hAnsi="Arial Narrow"/>
              </w:rPr>
              <w:t xml:space="preserve"> en el Mundo (COVID-19).</w:t>
            </w:r>
          </w:p>
        </w:tc>
      </w:tr>
      <w:tr w:rsidR="002E3820" w14:paraId="387C3A99" w14:textId="77777777" w:rsidTr="003955A0">
        <w:tc>
          <w:tcPr>
            <w:tcW w:w="1410" w:type="dxa"/>
            <w:vAlign w:val="center"/>
          </w:tcPr>
          <w:p w14:paraId="7576F8F2" w14:textId="70D2DDC1" w:rsidR="002E3820" w:rsidRPr="002E3820" w:rsidRDefault="002E3820" w:rsidP="00FD74CA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2E3820">
              <w:rPr>
                <w:rFonts w:ascii="Arial Narrow" w:eastAsia="Arial" w:hAnsi="Arial Narrow" w:cs="Arial"/>
                <w:b/>
              </w:rPr>
              <w:t>Estadísticas actualizadas</w:t>
            </w:r>
            <w:r w:rsidR="00FD74CA">
              <w:rPr>
                <w:rFonts w:ascii="Arial Narrow" w:eastAsia="Arial" w:hAnsi="Arial Narrow" w:cs="Arial"/>
                <w:b/>
              </w:rPr>
              <w:t xml:space="preserve"> en México</w:t>
            </w:r>
            <w:r w:rsidRPr="002E3820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7931" w:type="dxa"/>
            <w:vAlign w:val="center"/>
          </w:tcPr>
          <w:p w14:paraId="70395512" w14:textId="00544794" w:rsidR="002E3820" w:rsidRPr="00D730DC" w:rsidRDefault="002E3820" w:rsidP="00582C56">
            <w:pPr>
              <w:spacing w:line="276" w:lineRule="auto"/>
              <w:rPr>
                <w:rFonts w:ascii="Arial Narrow" w:eastAsia="Arial" w:hAnsi="Arial Narrow" w:cs="Arial"/>
                <w:bCs/>
              </w:rPr>
            </w:pPr>
            <w:proofErr w:type="gramStart"/>
            <w:r w:rsidRPr="00D730DC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D730DC">
              <w:rPr>
                <w:rFonts w:ascii="Arial Narrow" w:eastAsia="Arial" w:hAnsi="Arial Narrow" w:cs="Arial"/>
                <w:bCs/>
              </w:rPr>
              <w:t xml:space="preserve"> de personas confirmadas:</w:t>
            </w:r>
            <w:r w:rsidR="003955A0" w:rsidRPr="00D730DC">
              <w:rPr>
                <w:rFonts w:ascii="Arial Narrow" w:eastAsia="Arial" w:hAnsi="Arial Narrow" w:cs="Arial"/>
                <w:bCs/>
              </w:rPr>
              <w:t xml:space="preserve"> </w:t>
            </w:r>
            <w:r w:rsidR="00C16596" w:rsidRPr="00D730DC">
              <w:rPr>
                <w:rFonts w:ascii="Arial Narrow" w:eastAsia="Arial" w:hAnsi="Arial Narrow" w:cs="Arial"/>
                <w:b/>
                <w:bCs/>
              </w:rPr>
              <w:t>3</w:t>
            </w:r>
            <w:r w:rsidR="00C16596" w:rsidRPr="00D730DC">
              <w:rPr>
                <w:rFonts w:ascii="Arial Narrow" w:eastAsia="Arial" w:hAnsi="Arial Narrow" w:cs="Arial"/>
                <w:b/>
              </w:rPr>
              <w:t>6</w:t>
            </w:r>
            <w:r w:rsidR="003824FA" w:rsidRPr="00D730DC">
              <w:rPr>
                <w:rFonts w:ascii="Arial Narrow" w:eastAsia="Arial" w:hAnsi="Arial Narrow" w:cs="Arial"/>
                <w:b/>
              </w:rPr>
              <w:t>7</w:t>
            </w:r>
            <w:r w:rsidR="003955A0" w:rsidRPr="00D730DC">
              <w:rPr>
                <w:rFonts w:ascii="Arial Narrow" w:eastAsia="Arial" w:hAnsi="Arial Narrow" w:cs="Arial"/>
                <w:b/>
              </w:rPr>
              <w:t xml:space="preserve">, </w:t>
            </w:r>
            <w:r w:rsidR="003824FA" w:rsidRPr="00D730DC">
              <w:rPr>
                <w:rFonts w:ascii="Arial Narrow" w:eastAsia="Arial" w:hAnsi="Arial Narrow" w:cs="Arial"/>
                <w:bCs/>
              </w:rPr>
              <w:t>(</w:t>
            </w:r>
            <w:r w:rsidR="00D730DC" w:rsidRPr="00D730DC">
              <w:rPr>
                <w:rFonts w:ascii="Arial Narrow" w:eastAsia="Arial" w:hAnsi="Arial Narrow" w:cs="Arial"/>
                <w:bCs/>
              </w:rPr>
              <w:t>+</w:t>
            </w:r>
            <w:r w:rsidR="00C16596" w:rsidRPr="00D730DC">
              <w:rPr>
                <w:rFonts w:ascii="Arial Narrow" w:eastAsia="Arial" w:hAnsi="Arial Narrow" w:cs="Arial"/>
                <w:bCs/>
              </w:rPr>
              <w:t xml:space="preserve"> 5</w:t>
            </w:r>
            <w:r w:rsidR="003824FA" w:rsidRPr="00D730DC">
              <w:rPr>
                <w:rFonts w:ascii="Arial Narrow" w:eastAsia="Arial" w:hAnsi="Arial Narrow" w:cs="Arial"/>
                <w:bCs/>
              </w:rPr>
              <w:t>1 más</w:t>
            </w:r>
            <w:r w:rsidR="003955A0" w:rsidRPr="00D730DC">
              <w:rPr>
                <w:rFonts w:ascii="Arial Narrow" w:eastAsia="Arial" w:hAnsi="Arial Narrow" w:cs="Arial"/>
                <w:bCs/>
              </w:rPr>
              <w:t xml:space="preserve"> que ayer</w:t>
            </w:r>
            <w:r w:rsidR="00C126B8" w:rsidRPr="00D730DC">
              <w:rPr>
                <w:rFonts w:ascii="Arial Narrow" w:eastAsia="Arial" w:hAnsi="Arial Narrow" w:cs="Arial"/>
                <w:bCs/>
              </w:rPr>
              <w:t>).</w:t>
            </w:r>
          </w:p>
          <w:p w14:paraId="3877B449" w14:textId="1C869E28" w:rsidR="003824FA" w:rsidRPr="00D730DC" w:rsidRDefault="00E04994" w:rsidP="003824FA">
            <w:pPr>
              <w:rPr>
                <w:rFonts w:ascii="Arial Narrow" w:hAnsi="Arial Narrow"/>
              </w:rPr>
            </w:pPr>
            <w:r w:rsidRPr="00D730DC">
              <w:rPr>
                <w:rFonts w:ascii="Arial Narrow" w:hAnsi="Arial Narrow"/>
              </w:rPr>
              <w:t>63% Hombres.</w:t>
            </w:r>
          </w:p>
          <w:p w14:paraId="634C3626" w14:textId="736E2E55" w:rsidR="003824FA" w:rsidRPr="00D730DC" w:rsidRDefault="003824FA" w:rsidP="003824FA">
            <w:pPr>
              <w:rPr>
                <w:rFonts w:ascii="Arial Narrow" w:hAnsi="Arial Narrow"/>
              </w:rPr>
            </w:pPr>
            <w:r w:rsidRPr="00D730DC">
              <w:rPr>
                <w:rFonts w:ascii="Arial Narrow" w:hAnsi="Arial Narrow"/>
              </w:rPr>
              <w:t>37% Mujeres</w:t>
            </w:r>
            <w:r w:rsidR="00E04994" w:rsidRPr="00D730DC">
              <w:rPr>
                <w:rFonts w:ascii="Arial Narrow" w:hAnsi="Arial Narrow"/>
              </w:rPr>
              <w:t>.</w:t>
            </w:r>
          </w:p>
          <w:p w14:paraId="27D5723B" w14:textId="63E2B02D" w:rsidR="00D730DC" w:rsidRDefault="00D730DC" w:rsidP="00D730DC">
            <w:pPr>
              <w:spacing w:line="276" w:lineRule="auto"/>
              <w:ind w:left="708"/>
              <w:rPr>
                <w:rFonts w:ascii="Arial Narrow" w:eastAsia="Arial" w:hAnsi="Arial Narrow" w:cs="Arial"/>
                <w:bCs/>
              </w:rPr>
            </w:pPr>
            <w:r>
              <w:rPr>
                <w:rFonts w:ascii="Arial Narrow" w:eastAsia="Arial" w:hAnsi="Arial Narrow" w:cs="Arial"/>
                <w:bCs/>
              </w:rPr>
              <w:t xml:space="preserve">En la </w:t>
            </w:r>
            <w:r w:rsidRPr="00D730DC">
              <w:rPr>
                <w:rFonts w:ascii="Arial Narrow" w:eastAsia="Arial" w:hAnsi="Arial Narrow" w:cs="Arial"/>
                <w:bCs/>
                <w:u w:val="single"/>
              </w:rPr>
              <w:t xml:space="preserve">Ciudad de México: </w:t>
            </w:r>
            <w:r w:rsidRPr="00D730DC">
              <w:rPr>
                <w:rFonts w:ascii="Arial Narrow" w:eastAsia="Arial" w:hAnsi="Arial Narrow" w:cs="Arial"/>
                <w:b/>
                <w:u w:val="single"/>
              </w:rPr>
              <w:t>60</w:t>
            </w:r>
            <w:r>
              <w:rPr>
                <w:rFonts w:ascii="Arial Narrow" w:eastAsia="Arial" w:hAnsi="Arial Narrow" w:cs="Arial"/>
                <w:bCs/>
              </w:rPr>
              <w:t xml:space="preserve"> (+4 que ayer)</w:t>
            </w:r>
          </w:p>
          <w:p w14:paraId="628188CD" w14:textId="4D66D373" w:rsidR="002E3820" w:rsidRPr="003955A0" w:rsidRDefault="002E3820" w:rsidP="00582C56">
            <w:pPr>
              <w:spacing w:line="276" w:lineRule="auto"/>
              <w:rPr>
                <w:rFonts w:ascii="Arial Narrow" w:eastAsia="Arial" w:hAnsi="Arial Narrow" w:cs="Arial"/>
                <w:bCs/>
              </w:rPr>
            </w:pPr>
            <w:proofErr w:type="gramStart"/>
            <w:r w:rsidRPr="003955A0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3955A0">
              <w:rPr>
                <w:rFonts w:ascii="Arial Narrow" w:eastAsia="Arial" w:hAnsi="Arial Narrow" w:cs="Arial"/>
                <w:bCs/>
              </w:rPr>
              <w:t xml:space="preserve"> de personas sospechosas:</w:t>
            </w:r>
            <w:r w:rsidR="003955A0">
              <w:rPr>
                <w:rFonts w:ascii="Arial Narrow" w:eastAsia="Arial" w:hAnsi="Arial Narrow" w:cs="Arial"/>
                <w:bCs/>
              </w:rPr>
              <w:t xml:space="preserve"> </w:t>
            </w:r>
            <w:r w:rsidR="003824FA">
              <w:rPr>
                <w:rFonts w:ascii="Arial Narrow" w:eastAsia="Arial" w:hAnsi="Arial Narrow" w:cs="Arial"/>
                <w:b/>
              </w:rPr>
              <w:t>826</w:t>
            </w:r>
            <w:r w:rsidR="003955A0">
              <w:rPr>
                <w:rFonts w:ascii="Arial Narrow" w:eastAsia="Arial" w:hAnsi="Arial Narrow" w:cs="Arial"/>
                <w:b/>
              </w:rPr>
              <w:t xml:space="preserve">, </w:t>
            </w:r>
            <w:r w:rsidR="00C126B8" w:rsidRPr="00C126B8">
              <w:rPr>
                <w:rFonts w:ascii="Arial Narrow" w:eastAsia="Arial" w:hAnsi="Arial Narrow" w:cs="Arial"/>
                <w:bCs/>
              </w:rPr>
              <w:t>(</w:t>
            </w:r>
            <w:r w:rsidR="00D730DC">
              <w:rPr>
                <w:rFonts w:ascii="Arial Narrow" w:eastAsia="Arial" w:hAnsi="Arial Narrow" w:cs="Arial"/>
                <w:bCs/>
              </w:rPr>
              <w:t>+</w:t>
            </w:r>
            <w:r w:rsidR="00503CAF">
              <w:rPr>
                <w:rFonts w:ascii="Arial Narrow" w:eastAsia="Arial" w:hAnsi="Arial Narrow" w:cs="Arial"/>
                <w:bCs/>
              </w:rPr>
              <w:t xml:space="preserve">33 </w:t>
            </w:r>
            <w:r w:rsidR="00C126B8" w:rsidRPr="00C126B8">
              <w:rPr>
                <w:rFonts w:ascii="Arial Narrow" w:eastAsia="Arial" w:hAnsi="Arial Narrow" w:cs="Arial"/>
                <w:bCs/>
              </w:rPr>
              <w:t>que ayer)</w:t>
            </w:r>
            <w:r w:rsidR="00C126B8">
              <w:rPr>
                <w:rFonts w:ascii="Arial Narrow" w:eastAsia="Arial" w:hAnsi="Arial Narrow" w:cs="Arial"/>
                <w:bCs/>
              </w:rPr>
              <w:t>.</w:t>
            </w:r>
          </w:p>
          <w:p w14:paraId="1E6A04A7" w14:textId="2C76F0C8" w:rsidR="002E3820" w:rsidRPr="003955A0" w:rsidRDefault="002E3820" w:rsidP="00582C56">
            <w:pPr>
              <w:spacing w:line="276" w:lineRule="auto"/>
              <w:rPr>
                <w:rFonts w:ascii="Arial Narrow" w:eastAsia="Arial" w:hAnsi="Arial Narrow" w:cs="Arial"/>
                <w:bCs/>
              </w:rPr>
            </w:pPr>
            <w:r w:rsidRPr="003955A0">
              <w:rPr>
                <w:rFonts w:ascii="Arial Narrow" w:eastAsia="Arial" w:hAnsi="Arial Narrow" w:cs="Arial"/>
                <w:bCs/>
              </w:rPr>
              <w:t>Total de casos negativos:</w:t>
            </w:r>
            <w:r w:rsidR="003955A0">
              <w:rPr>
                <w:rFonts w:ascii="Arial Narrow" w:eastAsia="Arial" w:hAnsi="Arial Narrow" w:cs="Arial"/>
                <w:bCs/>
              </w:rPr>
              <w:t xml:space="preserve"> </w:t>
            </w:r>
            <w:r w:rsidR="00E04994" w:rsidRPr="00E04994">
              <w:rPr>
                <w:rFonts w:ascii="Arial Narrow" w:eastAsia="Arial" w:hAnsi="Arial Narrow" w:cs="Arial"/>
                <w:b/>
                <w:bCs/>
              </w:rPr>
              <w:t>1,</w:t>
            </w:r>
            <w:r w:rsidR="003824FA">
              <w:rPr>
                <w:rFonts w:ascii="Arial Narrow" w:eastAsia="Arial" w:hAnsi="Arial Narrow" w:cs="Arial"/>
                <w:b/>
              </w:rPr>
              <w:t>865</w:t>
            </w:r>
            <w:r w:rsidR="00E04994">
              <w:rPr>
                <w:rFonts w:ascii="Arial Narrow" w:eastAsia="Arial" w:hAnsi="Arial Narrow" w:cs="Arial"/>
                <w:b/>
              </w:rPr>
              <w:t>.</w:t>
            </w:r>
          </w:p>
          <w:p w14:paraId="0337AE11" w14:textId="2196C7DE" w:rsidR="00D730DC" w:rsidRDefault="002E3820" w:rsidP="00582C56">
            <w:pPr>
              <w:spacing w:line="276" w:lineRule="auto"/>
              <w:rPr>
                <w:rFonts w:ascii="Arial Narrow" w:eastAsia="Arial" w:hAnsi="Arial Narrow" w:cs="Arial"/>
                <w:bCs/>
              </w:rPr>
            </w:pPr>
            <w:proofErr w:type="gramStart"/>
            <w:r w:rsidRPr="003955A0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3955A0">
              <w:rPr>
                <w:rFonts w:ascii="Arial Narrow" w:eastAsia="Arial" w:hAnsi="Arial Narrow" w:cs="Arial"/>
                <w:bCs/>
              </w:rPr>
              <w:t xml:space="preserve"> de defunciones:</w:t>
            </w:r>
            <w:r w:rsidR="003955A0">
              <w:rPr>
                <w:rFonts w:ascii="Arial Narrow" w:eastAsia="Arial" w:hAnsi="Arial Narrow" w:cs="Arial"/>
                <w:bCs/>
              </w:rPr>
              <w:t xml:space="preserve"> </w:t>
            </w:r>
            <w:r w:rsidR="003824FA">
              <w:rPr>
                <w:rFonts w:ascii="Arial Narrow" w:eastAsia="Arial" w:hAnsi="Arial Narrow" w:cs="Arial"/>
                <w:b/>
              </w:rPr>
              <w:t>4</w:t>
            </w:r>
            <w:r w:rsidR="003955A0">
              <w:rPr>
                <w:rFonts w:ascii="Arial Narrow" w:eastAsia="Arial" w:hAnsi="Arial Narrow" w:cs="Arial"/>
                <w:b/>
              </w:rPr>
              <w:t xml:space="preserve">, </w:t>
            </w:r>
            <w:r w:rsidR="003824FA">
              <w:rPr>
                <w:rFonts w:ascii="Arial Narrow" w:eastAsia="Arial" w:hAnsi="Arial Narrow" w:cs="Arial"/>
                <w:bCs/>
              </w:rPr>
              <w:t>(</w:t>
            </w:r>
            <w:r w:rsidR="00D730DC">
              <w:rPr>
                <w:rFonts w:ascii="Arial Narrow" w:eastAsia="Arial" w:hAnsi="Arial Narrow" w:cs="Arial"/>
                <w:bCs/>
              </w:rPr>
              <w:t>+</w:t>
            </w:r>
            <w:r w:rsidR="003824FA">
              <w:rPr>
                <w:rFonts w:ascii="Arial Narrow" w:eastAsia="Arial" w:hAnsi="Arial Narrow" w:cs="Arial"/>
                <w:bCs/>
              </w:rPr>
              <w:t>2</w:t>
            </w:r>
            <w:r w:rsidR="00C126B8" w:rsidRPr="00C126B8">
              <w:rPr>
                <w:rFonts w:ascii="Arial Narrow" w:eastAsia="Arial" w:hAnsi="Arial Narrow" w:cs="Arial"/>
                <w:bCs/>
              </w:rPr>
              <w:t xml:space="preserve"> que ayer)</w:t>
            </w:r>
            <w:r w:rsidR="00C126B8">
              <w:rPr>
                <w:rFonts w:ascii="Arial Narrow" w:eastAsia="Arial" w:hAnsi="Arial Narrow" w:cs="Arial"/>
                <w:bCs/>
              </w:rPr>
              <w:t>.</w:t>
            </w:r>
          </w:p>
          <w:p w14:paraId="64414EE3" w14:textId="7D391210" w:rsidR="00C16596" w:rsidRPr="002E3820" w:rsidRDefault="00C16596" w:rsidP="00582C56">
            <w:pPr>
              <w:spacing w:line="276" w:lineRule="auto"/>
              <w:rPr>
                <w:rFonts w:ascii="Arial Narrow" w:eastAsia="Arial" w:hAnsi="Arial Narrow" w:cs="Arial"/>
              </w:rPr>
            </w:pPr>
            <w:r>
              <w:rPr>
                <w:noProof/>
                <w:lang w:val="es-MX"/>
              </w:rPr>
              <w:drawing>
                <wp:inline distT="0" distB="0" distL="0" distR="0" wp14:anchorId="69F37761" wp14:editId="1CD03B82">
                  <wp:extent cx="4742815" cy="2657475"/>
                  <wp:effectExtent l="0" t="0" r="635" b="9525"/>
                  <wp:docPr id="1" name="Imagen 1" descr="Imag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663" cy="2680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820" w14:paraId="7B539D5A" w14:textId="77777777" w:rsidTr="003955A0">
        <w:tc>
          <w:tcPr>
            <w:tcW w:w="1410" w:type="dxa"/>
            <w:vAlign w:val="center"/>
          </w:tcPr>
          <w:p w14:paraId="10E0DB26" w14:textId="77777777" w:rsidR="002E3820" w:rsidRPr="002E3820" w:rsidRDefault="002E3820" w:rsidP="00582C56">
            <w:pPr>
              <w:rPr>
                <w:rFonts w:ascii="Arial Narrow" w:hAnsi="Arial Narrow"/>
                <w:b/>
              </w:rPr>
            </w:pPr>
            <w:r w:rsidRPr="002E3820">
              <w:rPr>
                <w:rFonts w:ascii="Arial Narrow" w:eastAsia="Arial" w:hAnsi="Arial Narrow" w:cs="Arial"/>
                <w:b/>
              </w:rPr>
              <w:t>Anuncios destacados:</w:t>
            </w:r>
          </w:p>
        </w:tc>
        <w:tc>
          <w:tcPr>
            <w:tcW w:w="7931" w:type="dxa"/>
            <w:vAlign w:val="center"/>
          </w:tcPr>
          <w:p w14:paraId="1D43F2EF" w14:textId="390AB665" w:rsidR="002E3820" w:rsidRPr="002E3820" w:rsidRDefault="002E3820" w:rsidP="002E3820">
            <w:pPr>
              <w:spacing w:line="276" w:lineRule="auto"/>
              <w:jc w:val="both"/>
              <w:rPr>
                <w:rFonts w:ascii="Arial Narrow" w:hAnsi="Arial Narrow"/>
                <w:b/>
                <w:color w:val="14171A"/>
              </w:rPr>
            </w:pPr>
            <w:bookmarkStart w:id="3" w:name="_heading=h.99mneb1ud1dd" w:colFirst="0" w:colLast="0"/>
            <w:bookmarkEnd w:id="3"/>
            <w:r w:rsidRPr="002E3820">
              <w:rPr>
                <w:rFonts w:ascii="Arial Narrow" w:hAnsi="Arial Narrow"/>
                <w:b/>
                <w:color w:val="14171A"/>
              </w:rPr>
              <w:t>1.-</w:t>
            </w:r>
            <w:r w:rsidR="00CD379E">
              <w:rPr>
                <w:rFonts w:ascii="Arial Narrow" w:hAnsi="Arial Narrow"/>
                <w:b/>
                <w:color w:val="14171A"/>
              </w:rPr>
              <w:t xml:space="preserve"> </w:t>
            </w:r>
            <w:r w:rsidR="00C16596" w:rsidRPr="00C16596">
              <w:rPr>
                <w:rFonts w:ascii="Arial Narrow" w:hAnsi="Arial Narrow"/>
                <w:color w:val="14171A"/>
              </w:rPr>
              <w:t>Es indistinto si se le llama fase 1 o Fase 2. El cambio de fase es gradual y no existe una cifra determinada para anunciar el cambio de fase.</w:t>
            </w:r>
          </w:p>
          <w:p w14:paraId="5082DAAE" w14:textId="64F46FDB" w:rsidR="00C16596" w:rsidRDefault="002E3820" w:rsidP="002E3820">
            <w:pPr>
              <w:spacing w:line="276" w:lineRule="auto"/>
              <w:jc w:val="both"/>
              <w:rPr>
                <w:rFonts w:ascii="Arial Narrow" w:hAnsi="Arial Narrow"/>
                <w:color w:val="14171A"/>
              </w:rPr>
            </w:pPr>
            <w:r w:rsidRPr="002E3820">
              <w:rPr>
                <w:rFonts w:ascii="Arial Narrow" w:hAnsi="Arial Narrow"/>
                <w:b/>
                <w:color w:val="14171A"/>
              </w:rPr>
              <w:t>2.-</w:t>
            </w:r>
            <w:r w:rsidR="00C16596">
              <w:rPr>
                <w:rFonts w:ascii="Arial Narrow" w:hAnsi="Arial Narrow"/>
                <w:b/>
                <w:color w:val="14171A"/>
              </w:rPr>
              <w:t xml:space="preserve"> </w:t>
            </w:r>
            <w:r w:rsidR="00C16596">
              <w:rPr>
                <w:rFonts w:ascii="Arial Narrow" w:hAnsi="Arial Narrow"/>
                <w:color w:val="14171A"/>
              </w:rPr>
              <w:t>La OMS clasifica solo dos fases: Casos importados y casos importados y comunitarios.</w:t>
            </w:r>
            <w:r w:rsidR="00E04994">
              <w:rPr>
                <w:rFonts w:ascii="Arial Narrow" w:hAnsi="Arial Narrow"/>
                <w:color w:val="14171A"/>
              </w:rPr>
              <w:t xml:space="preserve"> </w:t>
            </w:r>
            <w:r w:rsidR="00C16596" w:rsidRPr="00C16596">
              <w:rPr>
                <w:rFonts w:ascii="Arial Narrow" w:hAnsi="Arial Narrow"/>
                <w:color w:val="14171A"/>
              </w:rPr>
              <w:t>Conforme aumente el número de casos se volverá imposible rastrear la cadena de transmisión.</w:t>
            </w:r>
          </w:p>
          <w:p w14:paraId="1548F73F" w14:textId="2A01EFB9" w:rsidR="002928A6" w:rsidRPr="00C16596" w:rsidRDefault="002928A6" w:rsidP="002E3820">
            <w:pPr>
              <w:spacing w:line="276" w:lineRule="auto"/>
              <w:jc w:val="both"/>
              <w:rPr>
                <w:rFonts w:ascii="Arial Narrow" w:hAnsi="Arial Narrow"/>
                <w:color w:val="14171A"/>
              </w:rPr>
            </w:pPr>
            <w:r w:rsidRPr="002928A6">
              <w:rPr>
                <w:rFonts w:ascii="Arial Narrow" w:hAnsi="Arial Narrow"/>
                <w:b/>
                <w:color w:val="14171A"/>
              </w:rPr>
              <w:t>3.-</w:t>
            </w:r>
            <w:r>
              <w:rPr>
                <w:rFonts w:ascii="Arial Narrow" w:hAnsi="Arial Narrow"/>
                <w:color w:val="14171A"/>
              </w:rPr>
              <w:t xml:space="preserve"> En los próximos días, América será zona de mayor número de infecciones por COVID-19.</w:t>
            </w:r>
          </w:p>
          <w:p w14:paraId="644D0F5F" w14:textId="557B7EE2" w:rsidR="002E3820" w:rsidRPr="002E3820" w:rsidRDefault="002928A6" w:rsidP="002E3820">
            <w:pPr>
              <w:spacing w:line="276" w:lineRule="auto"/>
              <w:jc w:val="both"/>
              <w:rPr>
                <w:rFonts w:ascii="Arial Narrow" w:hAnsi="Arial Narrow"/>
                <w:color w:val="14171A"/>
              </w:rPr>
            </w:pPr>
            <w:r>
              <w:rPr>
                <w:rFonts w:ascii="Arial Narrow" w:hAnsi="Arial Narrow"/>
                <w:b/>
                <w:color w:val="14171A"/>
              </w:rPr>
              <w:lastRenderedPageBreak/>
              <w:t>4</w:t>
            </w:r>
            <w:r w:rsidR="002E3820" w:rsidRPr="002E3820">
              <w:rPr>
                <w:rFonts w:ascii="Arial Narrow" w:hAnsi="Arial Narrow"/>
                <w:b/>
                <w:color w:val="14171A"/>
              </w:rPr>
              <w:t>.-</w:t>
            </w:r>
            <w:r w:rsidR="00C16596" w:rsidRPr="00CD379E">
              <w:rPr>
                <w:rFonts w:ascii="Arial Narrow" w:hAnsi="Arial Narrow"/>
                <w:color w:val="14171A"/>
              </w:rPr>
              <w:t xml:space="preserve"> Exhorto a continuar con el programa “Susana </w:t>
            </w:r>
            <w:r w:rsidR="00D730DC">
              <w:rPr>
                <w:rFonts w:ascii="Arial Narrow" w:hAnsi="Arial Narrow"/>
                <w:color w:val="14171A"/>
              </w:rPr>
              <w:t>D</w:t>
            </w:r>
            <w:r w:rsidR="00C16596" w:rsidRPr="00CD379E">
              <w:rPr>
                <w:rFonts w:ascii="Arial Narrow" w:hAnsi="Arial Narrow"/>
                <w:color w:val="14171A"/>
              </w:rPr>
              <w:t>istancia”, a fin de que se limiten las cadenas de transmisión del COVID-19.</w:t>
            </w:r>
          </w:p>
        </w:tc>
      </w:tr>
      <w:tr w:rsidR="002E3820" w14:paraId="1DB04D8D" w14:textId="77777777" w:rsidTr="003955A0">
        <w:tc>
          <w:tcPr>
            <w:tcW w:w="1410" w:type="dxa"/>
            <w:vAlign w:val="center"/>
          </w:tcPr>
          <w:p w14:paraId="51C890D6" w14:textId="77777777" w:rsidR="002E3820" w:rsidRPr="002E3820" w:rsidRDefault="002E3820" w:rsidP="002E3820">
            <w:pPr>
              <w:spacing w:line="276" w:lineRule="auto"/>
              <w:rPr>
                <w:rFonts w:ascii="Arial Narrow" w:eastAsia="Arial" w:hAnsi="Arial Narrow" w:cs="Arial"/>
                <w:b/>
              </w:rPr>
            </w:pPr>
            <w:r w:rsidRPr="002E3820">
              <w:rPr>
                <w:rFonts w:ascii="Arial Narrow" w:eastAsia="Arial" w:hAnsi="Arial Narrow" w:cs="Arial"/>
                <w:b/>
              </w:rPr>
              <w:lastRenderedPageBreak/>
              <w:t>Otros temas:</w:t>
            </w:r>
          </w:p>
        </w:tc>
        <w:tc>
          <w:tcPr>
            <w:tcW w:w="7931" w:type="dxa"/>
            <w:vAlign w:val="center"/>
          </w:tcPr>
          <w:p w14:paraId="1669476C" w14:textId="0EFAB47A" w:rsidR="0044053B" w:rsidRPr="002E3820" w:rsidRDefault="0044053B" w:rsidP="0044053B">
            <w:pPr>
              <w:spacing w:line="276" w:lineRule="auto"/>
              <w:jc w:val="both"/>
              <w:rPr>
                <w:rFonts w:ascii="Arial Narrow" w:hAnsi="Arial Narrow"/>
                <w:b/>
                <w:color w:val="14171A"/>
              </w:rPr>
            </w:pPr>
            <w:bookmarkStart w:id="4" w:name="_heading=h.aqd7sny1iih3" w:colFirst="0" w:colLast="0"/>
            <w:bookmarkEnd w:id="4"/>
            <w:r w:rsidRPr="002E3820">
              <w:rPr>
                <w:rFonts w:ascii="Arial Narrow" w:hAnsi="Arial Narrow"/>
                <w:b/>
                <w:color w:val="14171A"/>
              </w:rPr>
              <w:t>1.-</w:t>
            </w:r>
            <w:r w:rsidR="00C16596">
              <w:rPr>
                <w:rFonts w:ascii="Arial Narrow" w:hAnsi="Arial Narrow"/>
                <w:b/>
                <w:color w:val="14171A"/>
              </w:rPr>
              <w:t xml:space="preserve"> </w:t>
            </w:r>
            <w:r w:rsidR="00592776">
              <w:rPr>
                <w:rFonts w:ascii="Arial Narrow" w:hAnsi="Arial Narrow"/>
                <w:b/>
                <w:color w:val="14171A"/>
              </w:rPr>
              <w:t xml:space="preserve"> Con base en la metodología de la OMS, la Secretaría de S</w:t>
            </w:r>
            <w:r w:rsidR="00C50C93">
              <w:rPr>
                <w:rFonts w:ascii="Arial Narrow" w:hAnsi="Arial Narrow"/>
                <w:b/>
                <w:color w:val="14171A"/>
              </w:rPr>
              <w:t>alud difunde la siguiente tabla: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8"/>
              <w:gridCol w:w="2568"/>
              <w:gridCol w:w="2569"/>
            </w:tblGrid>
            <w:tr w:rsidR="00D730DC" w14:paraId="6B7D0175" w14:textId="77777777" w:rsidTr="00D730DC">
              <w:tc>
                <w:tcPr>
                  <w:tcW w:w="2568" w:type="dxa"/>
                </w:tcPr>
                <w:p w14:paraId="6EDF0F92" w14:textId="6C752742" w:rsidR="00D730DC" w:rsidRDefault="00D730DC" w:rsidP="0044053B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14171A"/>
                    </w:rPr>
                  </w:pPr>
                  <w:r>
                    <w:rPr>
                      <w:rFonts w:ascii="Arial Narrow" w:hAnsi="Arial Narrow"/>
                      <w:color w:val="14171A"/>
                    </w:rPr>
                    <w:t>Casos confirmados</w:t>
                  </w:r>
                </w:p>
              </w:tc>
              <w:tc>
                <w:tcPr>
                  <w:tcW w:w="2568" w:type="dxa"/>
                </w:tcPr>
                <w:p w14:paraId="7E653FB5" w14:textId="0D08D326" w:rsidR="00D730DC" w:rsidRDefault="00D730DC" w:rsidP="0044053B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14171A"/>
                    </w:rPr>
                  </w:pPr>
                  <w:r>
                    <w:rPr>
                      <w:rFonts w:ascii="Arial Narrow" w:hAnsi="Arial Narrow"/>
                      <w:color w:val="14171A"/>
                    </w:rPr>
                    <w:t>367</w:t>
                  </w:r>
                </w:p>
              </w:tc>
              <w:tc>
                <w:tcPr>
                  <w:tcW w:w="2569" w:type="dxa"/>
                </w:tcPr>
                <w:p w14:paraId="0D4A03B5" w14:textId="4669C2BD" w:rsidR="00D730DC" w:rsidRDefault="00D730DC" w:rsidP="0044053B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14171A"/>
                    </w:rPr>
                  </w:pPr>
                  <w:r>
                    <w:rPr>
                      <w:rFonts w:ascii="Arial Narrow" w:hAnsi="Arial Narrow"/>
                      <w:color w:val="14171A"/>
                    </w:rPr>
                    <w:t>100%</w:t>
                  </w:r>
                </w:p>
              </w:tc>
            </w:tr>
            <w:tr w:rsidR="00D730DC" w14:paraId="17321242" w14:textId="77777777" w:rsidTr="00D730DC">
              <w:tc>
                <w:tcPr>
                  <w:tcW w:w="2568" w:type="dxa"/>
                </w:tcPr>
                <w:p w14:paraId="35ADC304" w14:textId="2B4AFBF8" w:rsidR="00D730DC" w:rsidRDefault="00D730DC" w:rsidP="0044053B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14171A"/>
                    </w:rPr>
                  </w:pPr>
                  <w:r>
                    <w:rPr>
                      <w:rFonts w:ascii="Arial Narrow" w:hAnsi="Arial Narrow"/>
                      <w:color w:val="14171A"/>
                    </w:rPr>
                    <w:t>Casos importados</w:t>
                  </w:r>
                </w:p>
              </w:tc>
              <w:tc>
                <w:tcPr>
                  <w:tcW w:w="2568" w:type="dxa"/>
                </w:tcPr>
                <w:p w14:paraId="661F3E4D" w14:textId="73C2F919" w:rsidR="00D730DC" w:rsidRDefault="00D730DC" w:rsidP="0044053B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14171A"/>
                    </w:rPr>
                  </w:pPr>
                  <w:r>
                    <w:rPr>
                      <w:rFonts w:ascii="Arial Narrow" w:hAnsi="Arial Narrow"/>
                      <w:color w:val="14171A"/>
                    </w:rPr>
                    <w:t>292</w:t>
                  </w:r>
                </w:p>
              </w:tc>
              <w:tc>
                <w:tcPr>
                  <w:tcW w:w="2569" w:type="dxa"/>
                </w:tcPr>
                <w:p w14:paraId="57A6059C" w14:textId="4A39820F" w:rsidR="00D730DC" w:rsidRDefault="00D730DC" w:rsidP="0044053B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14171A"/>
                    </w:rPr>
                  </w:pPr>
                  <w:r>
                    <w:rPr>
                      <w:rFonts w:ascii="Arial Narrow" w:hAnsi="Arial Narrow"/>
                      <w:color w:val="14171A"/>
                    </w:rPr>
                    <w:t xml:space="preserve"> 80%</w:t>
                  </w:r>
                </w:p>
              </w:tc>
            </w:tr>
            <w:tr w:rsidR="00D730DC" w14:paraId="014000BB" w14:textId="77777777" w:rsidTr="00D730DC">
              <w:tc>
                <w:tcPr>
                  <w:tcW w:w="2568" w:type="dxa"/>
                </w:tcPr>
                <w:p w14:paraId="76F3269F" w14:textId="449B3892" w:rsidR="00D730DC" w:rsidRDefault="00D730DC" w:rsidP="0044053B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14171A"/>
                    </w:rPr>
                  </w:pPr>
                  <w:r>
                    <w:rPr>
                      <w:rFonts w:ascii="Arial Narrow" w:hAnsi="Arial Narrow"/>
                      <w:color w:val="14171A"/>
                    </w:rPr>
                    <w:t>Asociados a importación</w:t>
                  </w:r>
                </w:p>
              </w:tc>
              <w:tc>
                <w:tcPr>
                  <w:tcW w:w="2568" w:type="dxa"/>
                </w:tcPr>
                <w:p w14:paraId="691D87E3" w14:textId="76F7AA25" w:rsidR="00D730DC" w:rsidRDefault="00D730DC" w:rsidP="0044053B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14171A"/>
                    </w:rPr>
                  </w:pPr>
                  <w:r>
                    <w:rPr>
                      <w:rFonts w:ascii="Arial Narrow" w:hAnsi="Arial Narrow"/>
                      <w:color w:val="14171A"/>
                    </w:rPr>
                    <w:t>70</w:t>
                  </w:r>
                </w:p>
              </w:tc>
              <w:tc>
                <w:tcPr>
                  <w:tcW w:w="2569" w:type="dxa"/>
                </w:tcPr>
                <w:p w14:paraId="2CF2FF7C" w14:textId="45E6DC38" w:rsidR="00D730DC" w:rsidRDefault="00D730DC" w:rsidP="0044053B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14171A"/>
                    </w:rPr>
                  </w:pPr>
                  <w:r>
                    <w:rPr>
                      <w:rFonts w:ascii="Arial Narrow" w:hAnsi="Arial Narrow"/>
                      <w:color w:val="14171A"/>
                    </w:rPr>
                    <w:t xml:space="preserve"> 19%</w:t>
                  </w:r>
                </w:p>
              </w:tc>
            </w:tr>
            <w:tr w:rsidR="00D730DC" w14:paraId="768DD2B4" w14:textId="77777777" w:rsidTr="00D730DC">
              <w:tc>
                <w:tcPr>
                  <w:tcW w:w="2568" w:type="dxa"/>
                </w:tcPr>
                <w:p w14:paraId="4EFC2EEA" w14:textId="77777777" w:rsidR="00D730DC" w:rsidRDefault="00D730DC" w:rsidP="00D730DC">
                  <w:pPr>
                    <w:jc w:val="both"/>
                    <w:rPr>
                      <w:rFonts w:ascii="Arial Narrow" w:hAnsi="Arial Narrow"/>
                      <w:color w:val="14171A"/>
                    </w:rPr>
                  </w:pPr>
                  <w:r w:rsidRPr="00592776">
                    <w:rPr>
                      <w:rFonts w:ascii="Arial Narrow" w:hAnsi="Arial Narrow"/>
                      <w:color w:val="14171A"/>
                    </w:rPr>
                    <w:t xml:space="preserve">Casos </w:t>
                  </w:r>
                  <w:r>
                    <w:rPr>
                      <w:rFonts w:ascii="Arial Narrow" w:hAnsi="Arial Narrow"/>
                      <w:color w:val="14171A"/>
                    </w:rPr>
                    <w:t>sin antecedentes</w:t>
                  </w:r>
                  <w:r w:rsidRPr="00592776">
                    <w:rPr>
                      <w:rFonts w:ascii="Arial Narrow" w:hAnsi="Arial Narrow"/>
                      <w:color w:val="14171A"/>
                    </w:rPr>
                    <w:t xml:space="preserve"> </w:t>
                  </w:r>
                </w:p>
                <w:p w14:paraId="0F68C0C1" w14:textId="3BA0B48E" w:rsidR="00D730DC" w:rsidRDefault="00D730DC" w:rsidP="00D730DC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14171A"/>
                    </w:rPr>
                  </w:pPr>
                  <w:r>
                    <w:rPr>
                      <w:rFonts w:ascii="Arial Narrow" w:hAnsi="Arial Narrow"/>
                      <w:color w:val="14171A"/>
                    </w:rPr>
                    <w:t>identificables de</w:t>
                  </w:r>
                  <w:r w:rsidRPr="00592776">
                    <w:rPr>
                      <w:rFonts w:ascii="Arial Narrow" w:hAnsi="Arial Narrow"/>
                      <w:color w:val="14171A"/>
                    </w:rPr>
                    <w:t xml:space="preserve"> importación</w:t>
                  </w:r>
                </w:p>
              </w:tc>
              <w:tc>
                <w:tcPr>
                  <w:tcW w:w="2568" w:type="dxa"/>
                </w:tcPr>
                <w:p w14:paraId="40B77625" w14:textId="1F3B747E" w:rsidR="00D730DC" w:rsidRDefault="00D730DC" w:rsidP="0044053B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14171A"/>
                    </w:rPr>
                  </w:pPr>
                  <w:r>
                    <w:rPr>
                      <w:rFonts w:ascii="Arial Narrow" w:hAnsi="Arial Narrow"/>
                      <w:color w:val="14171A"/>
                    </w:rPr>
                    <w:t>5</w:t>
                  </w:r>
                </w:p>
              </w:tc>
              <w:tc>
                <w:tcPr>
                  <w:tcW w:w="2569" w:type="dxa"/>
                </w:tcPr>
                <w:p w14:paraId="593C3A1A" w14:textId="54BCF64B" w:rsidR="00D730DC" w:rsidRDefault="00D730DC" w:rsidP="0044053B">
                  <w:pPr>
                    <w:spacing w:line="276" w:lineRule="auto"/>
                    <w:jc w:val="both"/>
                    <w:rPr>
                      <w:rFonts w:ascii="Arial Narrow" w:hAnsi="Arial Narrow"/>
                      <w:color w:val="14171A"/>
                    </w:rPr>
                  </w:pPr>
                  <w:r>
                    <w:rPr>
                      <w:rFonts w:ascii="Arial Narrow" w:hAnsi="Arial Narrow"/>
                      <w:color w:val="14171A"/>
                    </w:rPr>
                    <w:t xml:space="preserve">  1%</w:t>
                  </w:r>
                </w:p>
              </w:tc>
            </w:tr>
          </w:tbl>
          <w:p w14:paraId="0C11B097" w14:textId="4FD1952B" w:rsidR="00592776" w:rsidRPr="00592776" w:rsidRDefault="00592776" w:rsidP="00D730DC">
            <w:pPr>
              <w:spacing w:after="0" w:line="240" w:lineRule="auto"/>
              <w:jc w:val="both"/>
              <w:rPr>
                <w:rFonts w:ascii="Arial Narrow" w:hAnsi="Arial Narrow"/>
                <w:b/>
                <w:color w:val="14171A"/>
              </w:rPr>
            </w:pPr>
          </w:p>
        </w:tc>
      </w:tr>
      <w:tr w:rsidR="003955A0" w14:paraId="3BE1FADD" w14:textId="77777777" w:rsidTr="003955A0">
        <w:tc>
          <w:tcPr>
            <w:tcW w:w="1410" w:type="dxa"/>
            <w:vAlign w:val="center"/>
          </w:tcPr>
          <w:p w14:paraId="6C3D01EA" w14:textId="1A847710" w:rsidR="003955A0" w:rsidRPr="002E3820" w:rsidRDefault="003955A0" w:rsidP="001E662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>
              <w:rPr>
                <w:rFonts w:ascii="Arial Narrow" w:eastAsia="Arial" w:hAnsi="Arial Narrow" w:cs="Arial"/>
                <w:b/>
              </w:rPr>
              <w:t>Particip</w:t>
            </w:r>
            <w:r w:rsidR="00D730DC">
              <w:rPr>
                <w:rFonts w:ascii="Arial Narrow" w:eastAsia="Arial" w:hAnsi="Arial Narrow" w:cs="Arial"/>
                <w:b/>
              </w:rPr>
              <w:t>ó</w:t>
            </w:r>
            <w:r w:rsidRPr="002E3820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7931" w:type="dxa"/>
            <w:vAlign w:val="center"/>
          </w:tcPr>
          <w:p w14:paraId="5F0AC986" w14:textId="06FCFAAE" w:rsidR="003955A0" w:rsidRPr="003824FA" w:rsidRDefault="003824FA" w:rsidP="003824FA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Dr. Hugo López-Gatell Ramírez, </w:t>
            </w:r>
            <w:r w:rsidR="00D730DC">
              <w:rPr>
                <w:rFonts w:ascii="Arial Narrow" w:eastAsia="Arial" w:hAnsi="Arial Narrow" w:cs="Arial"/>
              </w:rPr>
              <w:t>S</w:t>
            </w:r>
            <w:r>
              <w:rPr>
                <w:rFonts w:ascii="Arial Narrow" w:eastAsia="Arial" w:hAnsi="Arial Narrow" w:cs="Arial"/>
              </w:rPr>
              <w:t>ubsecretario de Prevención y Promoción de la Salud</w:t>
            </w:r>
            <w:r w:rsidR="00D730DC">
              <w:rPr>
                <w:rFonts w:ascii="Arial Narrow" w:eastAsia="Arial" w:hAnsi="Arial Narrow" w:cs="Arial"/>
              </w:rPr>
              <w:t>. Secretaría de Salud del Gobierno Federal.</w:t>
            </w:r>
          </w:p>
        </w:tc>
      </w:tr>
    </w:tbl>
    <w:p w14:paraId="0F9BD2A6" w14:textId="77777777" w:rsidR="002E3820" w:rsidRDefault="002E3820" w:rsidP="002E382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3BA8234" w14:textId="164DAD73" w:rsidR="002E3820" w:rsidRDefault="002E3820" w:rsidP="003824FA"/>
    <w:sectPr w:rsidR="002E3820">
      <w:headerReference w:type="default" r:id="rId8"/>
      <w:footerReference w:type="default" r:id="rId9"/>
      <w:pgSz w:w="12240" w:h="15840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FC002" w14:textId="77777777" w:rsidR="00A26696" w:rsidRDefault="00A26696" w:rsidP="0044053B">
      <w:pPr>
        <w:spacing w:after="0" w:line="240" w:lineRule="auto"/>
      </w:pPr>
      <w:r>
        <w:separator/>
      </w:r>
    </w:p>
  </w:endnote>
  <w:endnote w:type="continuationSeparator" w:id="0">
    <w:p w14:paraId="6A03FA46" w14:textId="77777777" w:rsidR="00A26696" w:rsidRDefault="00A26696" w:rsidP="004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01263" w14:textId="77777777" w:rsidR="00CD0BDF" w:rsidRDefault="003605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6"/>
        <w:szCs w:val="16"/>
      </w:rPr>
    </w:pPr>
    <w:r>
      <w:rPr>
        <w:sz w:val="16"/>
        <w:szCs w:val="16"/>
      </w:rPr>
      <w:t>DMH DEAEE</w:t>
    </w:r>
    <w:r>
      <w:rPr>
        <w:color w:val="000000"/>
        <w:sz w:val="16"/>
        <w:szCs w:val="16"/>
      </w:rPr>
      <w:t xml:space="preserve"> </w:t>
    </w:r>
  </w:p>
  <w:p w14:paraId="327E40D9" w14:textId="77777777" w:rsidR="00CD0BDF" w:rsidRDefault="004405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6"/>
        <w:szCs w:val="16"/>
      </w:rPr>
    </w:pPr>
    <w:r>
      <w:rPr>
        <w:sz w:val="16"/>
        <w:szCs w:val="16"/>
      </w:rPr>
      <w:t>20200323</w:t>
    </w:r>
  </w:p>
  <w:p w14:paraId="308A995A" w14:textId="77777777" w:rsidR="00CD0BDF" w:rsidRDefault="003605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smallCaps/>
        <w:color w:val="5B9BD5"/>
      </w:rPr>
    </w:pPr>
    <w:r>
      <w:rPr>
        <w:color w:val="000000"/>
        <w:sz w:val="16"/>
        <w:szCs w:val="16"/>
      </w:rPr>
      <w:t>V1</w:t>
    </w:r>
  </w:p>
  <w:p w14:paraId="5029E756" w14:textId="77777777" w:rsidR="00CD0BDF" w:rsidRDefault="00A266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smallCaps/>
        <w:color w:val="5B9BD5"/>
      </w:rPr>
    </w:pPr>
  </w:p>
  <w:p w14:paraId="729CBFAE" w14:textId="77777777" w:rsidR="00CD0BDF" w:rsidRDefault="003605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smallCaps/>
        <w:color w:val="5B9BD5"/>
      </w:rPr>
    </w:pPr>
    <w:r>
      <w:rPr>
        <w:smallCaps/>
        <w:color w:val="5B9BD5"/>
      </w:rPr>
      <w:fldChar w:fldCharType="begin"/>
    </w:r>
    <w:r>
      <w:rPr>
        <w:smallCaps/>
        <w:color w:val="5B9BD5"/>
      </w:rPr>
      <w:instrText>PAGE</w:instrText>
    </w:r>
    <w:r>
      <w:rPr>
        <w:smallCaps/>
        <w:color w:val="5B9BD5"/>
      </w:rPr>
      <w:fldChar w:fldCharType="separate"/>
    </w:r>
    <w:r w:rsidR="002928A6">
      <w:rPr>
        <w:smallCaps/>
        <w:noProof/>
        <w:color w:val="5B9BD5"/>
      </w:rPr>
      <w:t>2</w:t>
    </w:r>
    <w:r>
      <w:rPr>
        <w:smallCaps/>
        <w:color w:val="5B9BD5"/>
      </w:rPr>
      <w:fldChar w:fldCharType="end"/>
    </w:r>
  </w:p>
  <w:p w14:paraId="02727691" w14:textId="77777777" w:rsidR="00CD0BDF" w:rsidRDefault="003605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 wp14:anchorId="5A7A30A4" wp14:editId="1CA8FA44">
          <wp:simplePos x="0" y="0"/>
          <wp:positionH relativeFrom="column">
            <wp:posOffset>-850900</wp:posOffset>
          </wp:positionH>
          <wp:positionV relativeFrom="paragraph">
            <wp:posOffset>175895</wp:posOffset>
          </wp:positionV>
          <wp:extent cx="7673975" cy="401955"/>
          <wp:effectExtent l="0" t="0" r="0" b="0"/>
          <wp:wrapSquare wrapText="bothSides" distT="0" distB="0" distL="114300" distR="114300"/>
          <wp:docPr id="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9643" b="23838"/>
                  <a:stretch>
                    <a:fillRect/>
                  </a:stretch>
                </pic:blipFill>
                <pic:spPr>
                  <a:xfrm>
                    <a:off x="0" y="0"/>
                    <a:ext cx="7673975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2FD49" w14:textId="77777777" w:rsidR="00A26696" w:rsidRDefault="00A26696" w:rsidP="0044053B">
      <w:pPr>
        <w:spacing w:after="0" w:line="240" w:lineRule="auto"/>
      </w:pPr>
      <w:r>
        <w:separator/>
      </w:r>
    </w:p>
  </w:footnote>
  <w:footnote w:type="continuationSeparator" w:id="0">
    <w:p w14:paraId="1FDA3434" w14:textId="77777777" w:rsidR="00A26696" w:rsidRDefault="00A26696" w:rsidP="004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7F1C5" w14:textId="77777777" w:rsidR="00CD0BDF" w:rsidRDefault="003605F4">
    <w:pPr>
      <w:spacing w:before="120" w:after="0" w:line="240" w:lineRule="auto"/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noProof/>
        <w:lang w:val="es-MX"/>
      </w:rPr>
      <w:drawing>
        <wp:anchor distT="0" distB="0" distL="114300" distR="114300" simplePos="0" relativeHeight="251659264" behindDoc="0" locked="0" layoutInCell="1" hidden="0" allowOverlap="1" wp14:anchorId="55297D0B" wp14:editId="33AEF859">
          <wp:simplePos x="0" y="0"/>
          <wp:positionH relativeFrom="column">
            <wp:posOffset>-525145</wp:posOffset>
          </wp:positionH>
          <wp:positionV relativeFrom="paragraph">
            <wp:posOffset>-111125</wp:posOffset>
          </wp:positionV>
          <wp:extent cx="1062355" cy="503555"/>
          <wp:effectExtent l="0" t="0" r="4445" b="0"/>
          <wp:wrapNone/>
          <wp:docPr id="6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18030"/>
                  <a:stretch>
                    <a:fillRect/>
                  </a:stretch>
                </pic:blipFill>
                <pic:spPr>
                  <a:xfrm>
                    <a:off x="0" y="0"/>
                    <a:ext cx="106235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Black" w:eastAsia="Arial Black" w:hAnsi="Arial Black" w:cs="Arial Black"/>
        <w:color w:val="4597A1"/>
        <w:sz w:val="18"/>
        <w:szCs w:val="18"/>
      </w:rPr>
      <w:t>Instituto de Transparencia, Acceso a la Información Pública,</w:t>
    </w:r>
  </w:p>
  <w:p w14:paraId="0F62FB78" w14:textId="77777777" w:rsidR="00CD0BDF" w:rsidRDefault="003605F4">
    <w:pPr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rFonts w:ascii="Arial Black" w:eastAsia="Arial Black" w:hAnsi="Arial Black" w:cs="Arial Black"/>
        <w:color w:val="4597A1"/>
        <w:sz w:val="18"/>
        <w:szCs w:val="18"/>
      </w:rPr>
      <w:t>Protección de Datos Personales y Rendición de Cuentas de la Ciudad de México</w:t>
    </w:r>
  </w:p>
  <w:p w14:paraId="6355E975" w14:textId="77777777" w:rsidR="00CD0BDF" w:rsidRDefault="00A26696">
    <w:pPr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63DDD"/>
    <w:multiLevelType w:val="hybridMultilevel"/>
    <w:tmpl w:val="EB6AEE9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820"/>
    <w:rsid w:val="000134C6"/>
    <w:rsid w:val="0009429D"/>
    <w:rsid w:val="002928A6"/>
    <w:rsid w:val="002E3820"/>
    <w:rsid w:val="003605F4"/>
    <w:rsid w:val="003824FA"/>
    <w:rsid w:val="003955A0"/>
    <w:rsid w:val="0044053B"/>
    <w:rsid w:val="00503CAF"/>
    <w:rsid w:val="00592776"/>
    <w:rsid w:val="005F526D"/>
    <w:rsid w:val="006B17DF"/>
    <w:rsid w:val="00822F22"/>
    <w:rsid w:val="008C6E19"/>
    <w:rsid w:val="00A26696"/>
    <w:rsid w:val="00A55B69"/>
    <w:rsid w:val="00AB3982"/>
    <w:rsid w:val="00C126B8"/>
    <w:rsid w:val="00C16596"/>
    <w:rsid w:val="00C50C93"/>
    <w:rsid w:val="00CD379E"/>
    <w:rsid w:val="00D730DC"/>
    <w:rsid w:val="00E04994"/>
    <w:rsid w:val="00F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CA4CB"/>
  <w15:chartTrackingRefBased/>
  <w15:docId w15:val="{9FC89884-54EC-4FDE-8FB9-BB4C1EE7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20"/>
    <w:rPr>
      <w:rFonts w:ascii="Calibri" w:eastAsia="Calibri" w:hAnsi="Calibri" w:cs="Calibri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E382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rsid w:val="002E382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405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53B"/>
    <w:rPr>
      <w:rFonts w:ascii="Calibri" w:eastAsia="Calibri" w:hAnsi="Calibri" w:cs="Calibri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3955A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7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Sonia Quintana Martínez</cp:lastModifiedBy>
  <cp:revision>2</cp:revision>
  <dcterms:created xsi:type="dcterms:W3CDTF">2020-03-24T02:10:00Z</dcterms:created>
  <dcterms:modified xsi:type="dcterms:W3CDTF">2020-03-24T02:10:00Z</dcterms:modified>
</cp:coreProperties>
</file>